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59975E" w14:textId="4BDF7466" w:rsidR="00ED711E" w:rsidRPr="00712BC5" w:rsidRDefault="00ED711E" w:rsidP="00506EB0">
      <w:pPr>
        <w:jc w:val="center"/>
        <w:rPr>
          <w:b/>
          <w:bCs/>
          <w:sz w:val="48"/>
          <w:szCs w:val="48"/>
          <w:lang w:val="pl-PL"/>
        </w:rPr>
      </w:pPr>
      <w:r w:rsidRPr="00712BC5">
        <w:rPr>
          <w:b/>
          <w:bCs/>
          <w:sz w:val="48"/>
          <w:szCs w:val="48"/>
          <w:lang w:val="pl-PL"/>
        </w:rPr>
        <w:t>Oświetl</w:t>
      </w:r>
      <w:r w:rsidR="00351702" w:rsidRPr="00712BC5">
        <w:rPr>
          <w:b/>
          <w:bCs/>
          <w:sz w:val="48"/>
          <w:szCs w:val="48"/>
          <w:lang w:val="pl-PL"/>
        </w:rPr>
        <w:t>a</w:t>
      </w:r>
      <w:r w:rsidRPr="00712BC5">
        <w:rPr>
          <w:b/>
          <w:bCs/>
          <w:sz w:val="48"/>
          <w:szCs w:val="48"/>
          <w:lang w:val="pl-PL"/>
        </w:rPr>
        <w:t>nie zewnętrznych rekreacyjnych obiektów sportowych</w:t>
      </w:r>
      <w:r w:rsidR="00ED1FB6" w:rsidRPr="00712BC5">
        <w:rPr>
          <w:b/>
          <w:bCs/>
          <w:sz w:val="48"/>
          <w:szCs w:val="48"/>
          <w:lang w:val="pl-PL"/>
        </w:rPr>
        <w:t xml:space="preserve"> z marką Philips</w:t>
      </w:r>
    </w:p>
    <w:p w14:paraId="2D67042C" w14:textId="63F6EFA6" w:rsidR="006B12F4" w:rsidRDefault="00712BC5" w:rsidP="00712BC5">
      <w:pPr>
        <w:jc w:val="center"/>
        <w:rPr>
          <w:rFonts w:cstheme="minorHAnsi"/>
          <w:lang w:val="pl-PL"/>
        </w:rPr>
      </w:pPr>
      <w:r>
        <w:rPr>
          <w:noProof/>
        </w:rPr>
        <w:drawing>
          <wp:inline distT="0" distB="0" distL="0" distR="0" wp14:anchorId="3DF9CE9B" wp14:editId="5D54323D">
            <wp:extent cx="5943600" cy="19824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4AF2B" w14:textId="77777777" w:rsidR="00712BC5" w:rsidRDefault="00712BC5" w:rsidP="00AD6616">
      <w:pPr>
        <w:jc w:val="both"/>
        <w:rPr>
          <w:rFonts w:cstheme="minorHAnsi"/>
          <w:lang w:val="pl-PL"/>
        </w:rPr>
      </w:pPr>
    </w:p>
    <w:p w14:paraId="6DC9A7E7" w14:textId="24B37C97" w:rsidR="006B12F4" w:rsidRDefault="00ED711E" w:rsidP="00AD6616">
      <w:pPr>
        <w:jc w:val="both"/>
        <w:rPr>
          <w:rFonts w:cstheme="minorHAnsi"/>
          <w:lang w:val="pl-PL"/>
        </w:rPr>
      </w:pPr>
      <w:r w:rsidRPr="002A4909">
        <w:rPr>
          <w:rFonts w:cstheme="minorHAnsi"/>
          <w:lang w:val="pl-PL"/>
        </w:rPr>
        <w:t xml:space="preserve">Znaczenia słów „obiekt sportowy” szerzej tłumaczyć nie trzeba, natomiast </w:t>
      </w:r>
      <w:proofErr w:type="gramStart"/>
      <w:r w:rsidRPr="002A4909">
        <w:rPr>
          <w:rFonts w:cstheme="minorHAnsi"/>
          <w:lang w:val="pl-PL"/>
        </w:rPr>
        <w:t>odnośnie</w:t>
      </w:r>
      <w:proofErr w:type="gramEnd"/>
      <w:r w:rsidRPr="002A4909">
        <w:rPr>
          <w:rFonts w:cstheme="minorHAnsi"/>
          <w:lang w:val="pl-PL"/>
        </w:rPr>
        <w:t xml:space="preserve"> określeń „zewnętrzny” i „rekreacyjny” należy się krótki komentarz. Jako obiekt zewnętrzny rozumiemy taki, który położony jest na zewnątrz, czyli „pod gołym niebem” – najczęściej </w:t>
      </w:r>
      <w:r w:rsidR="00712BC5">
        <w:rPr>
          <w:rFonts w:cstheme="minorHAnsi"/>
          <w:lang w:val="pl-PL"/>
        </w:rPr>
        <w:t xml:space="preserve">niezadaszony i </w:t>
      </w:r>
      <w:r w:rsidRPr="002A4909">
        <w:rPr>
          <w:rFonts w:cstheme="minorHAnsi"/>
          <w:lang w:val="pl-PL"/>
        </w:rPr>
        <w:t>z oświetleniem ulokowanym na słupach/masztach. Rekreacyjny natomiast to taki, który oświetlamy biorąc pod uwagę komfort użytkowników</w:t>
      </w:r>
      <w:r w:rsidR="00712BC5">
        <w:rPr>
          <w:rFonts w:cstheme="minorHAnsi"/>
          <w:lang w:val="pl-PL"/>
        </w:rPr>
        <w:t xml:space="preserve"> -</w:t>
      </w:r>
      <w:r w:rsidRPr="002A4909">
        <w:rPr>
          <w:rFonts w:cstheme="minorHAnsi"/>
          <w:lang w:val="pl-PL"/>
        </w:rPr>
        <w:t xml:space="preserve"> nie uwzględnia</w:t>
      </w:r>
      <w:r w:rsidR="00712BC5">
        <w:rPr>
          <w:rFonts w:cstheme="minorHAnsi"/>
          <w:lang w:val="pl-PL"/>
        </w:rPr>
        <w:t>my</w:t>
      </w:r>
      <w:r w:rsidRPr="002A4909">
        <w:rPr>
          <w:rFonts w:cstheme="minorHAnsi"/>
          <w:lang w:val="pl-PL"/>
        </w:rPr>
        <w:t xml:space="preserve"> parametrów dla potrzeb kamer czy transmisji TV. Mówimy zatem o obiektach małych takich jak place zabaw, średnich takich jak skate parki czy boiska wielofunkcyjne, aż po duże - jak stadiony lekkoatletyczne czy pełnowymiarowe boiska piłkarskie.</w:t>
      </w:r>
    </w:p>
    <w:p w14:paraId="7A065529" w14:textId="2BDCE9B0" w:rsidR="00ED711E" w:rsidRPr="002A4909" w:rsidRDefault="00ED711E" w:rsidP="00611BB2">
      <w:pPr>
        <w:jc w:val="both"/>
        <w:rPr>
          <w:rFonts w:cstheme="minorHAnsi"/>
          <w:lang w:val="pl-PL"/>
        </w:rPr>
      </w:pPr>
      <w:r w:rsidRPr="002A4909">
        <w:rPr>
          <w:rFonts w:cstheme="minorHAnsi"/>
          <w:lang w:val="pl-PL"/>
        </w:rPr>
        <w:t xml:space="preserve">Wymagania normatywne dla takich obiektów reguluje norma 12193 „Oświetlenie w sporcie”. Zależnie od dyscypliny sportu i poziomu rozgrywek </w:t>
      </w:r>
      <w:r w:rsidR="00BC578F">
        <w:rPr>
          <w:rFonts w:cstheme="minorHAnsi"/>
          <w:lang w:val="pl-PL"/>
        </w:rPr>
        <w:t>wyróżniamy</w:t>
      </w:r>
      <w:r w:rsidRPr="002A4909">
        <w:rPr>
          <w:rFonts w:cstheme="minorHAnsi"/>
          <w:lang w:val="pl-PL"/>
        </w:rPr>
        <w:t>:</w:t>
      </w:r>
    </w:p>
    <w:p w14:paraId="5FFE06B2" w14:textId="54FDE226" w:rsidR="00ED711E" w:rsidRPr="00611BB2" w:rsidRDefault="00ED711E" w:rsidP="00611BB2">
      <w:pPr>
        <w:pStyle w:val="ListParagraph"/>
        <w:numPr>
          <w:ilvl w:val="0"/>
          <w:numId w:val="1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>klasę I: poziom ligowy</w:t>
      </w:r>
      <w:r w:rsidR="00BC578F">
        <w:rPr>
          <w:rFonts w:cstheme="minorHAnsi"/>
          <w:lang w:val="pl-PL"/>
        </w:rPr>
        <w:t>,</w:t>
      </w:r>
    </w:p>
    <w:p w14:paraId="2F53BDCC" w14:textId="2AD9A426" w:rsidR="00ED711E" w:rsidRPr="00611BB2" w:rsidRDefault="00ED711E" w:rsidP="00611BB2">
      <w:pPr>
        <w:pStyle w:val="ListParagraph"/>
        <w:numPr>
          <w:ilvl w:val="0"/>
          <w:numId w:val="1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>klasę II: rozgrywki lokalne, trening</w:t>
      </w:r>
      <w:r w:rsidR="00BC578F">
        <w:rPr>
          <w:rFonts w:cstheme="minorHAnsi"/>
          <w:lang w:val="pl-PL"/>
        </w:rPr>
        <w:t>,</w:t>
      </w:r>
    </w:p>
    <w:p w14:paraId="3E6D3960" w14:textId="7A7AFF32" w:rsidR="006B12F4" w:rsidRPr="00611BB2" w:rsidRDefault="00ED711E" w:rsidP="00611BB2">
      <w:pPr>
        <w:pStyle w:val="ListParagraph"/>
        <w:numPr>
          <w:ilvl w:val="0"/>
          <w:numId w:val="1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>klasę III: trening, rekreacja</w:t>
      </w:r>
      <w:r w:rsidR="00BC578F">
        <w:rPr>
          <w:rFonts w:cstheme="minorHAnsi"/>
          <w:lang w:val="pl-PL"/>
        </w:rPr>
        <w:t>.</w:t>
      </w:r>
    </w:p>
    <w:p w14:paraId="7ABDF451" w14:textId="2572CFED" w:rsidR="00A218ED" w:rsidRDefault="00ED711E" w:rsidP="00611BB2">
      <w:pPr>
        <w:jc w:val="both"/>
        <w:rPr>
          <w:rFonts w:cstheme="minorHAnsi"/>
          <w:lang w:val="pl-PL"/>
        </w:rPr>
      </w:pPr>
      <w:r w:rsidRPr="002A4909">
        <w:rPr>
          <w:rFonts w:cstheme="minorHAnsi"/>
          <w:lang w:val="pl-PL"/>
        </w:rPr>
        <w:t xml:space="preserve">Dla najpopularniejszych w naszym kraju dyscyplin sportu poruszamy się zazwyczaj w obszarze natężeń oświetlenia na płaszczyźnie gry od 50 do 750 lx. W większości przypadków dla dyscyplin sportu w wydaniu zewnętrznym </w:t>
      </w:r>
      <w:r w:rsidRPr="00BC578F">
        <w:rPr>
          <w:rFonts w:cstheme="minorHAnsi"/>
          <w:lang w:val="pl-PL"/>
        </w:rPr>
        <w:t>użyjemy tablicy A.21</w:t>
      </w:r>
      <w:r w:rsidR="00ED0B94">
        <w:rPr>
          <w:rFonts w:cstheme="minorHAnsi"/>
          <w:lang w:val="pl-PL"/>
        </w:rPr>
        <w:t xml:space="preserve"> (z wyżej wymienionej normy)</w:t>
      </w:r>
      <w:r w:rsidRPr="00BC578F">
        <w:rPr>
          <w:rFonts w:cstheme="minorHAnsi"/>
          <w:lang w:val="pl-PL"/>
        </w:rPr>
        <w:t xml:space="preserve">, która obejmuje m.in. koszykówkę, siatkówkę, piłkę ręczną i piłkę nożną. </w:t>
      </w:r>
      <w:r w:rsidRPr="00372F0E">
        <w:rPr>
          <w:rFonts w:cstheme="minorHAnsi"/>
          <w:lang w:val="pl-PL"/>
        </w:rPr>
        <w:t xml:space="preserve">W tablicy A.21 </w:t>
      </w:r>
      <w:r w:rsidR="00372F0E" w:rsidRPr="00372F0E">
        <w:rPr>
          <w:rFonts w:cstheme="minorHAnsi"/>
          <w:lang w:val="pl-PL"/>
        </w:rPr>
        <w:t>wymienione są</w:t>
      </w:r>
      <w:r w:rsidRPr="00372F0E">
        <w:rPr>
          <w:rFonts w:cstheme="minorHAnsi"/>
          <w:lang w:val="pl-PL"/>
        </w:rPr>
        <w:t xml:space="preserve"> wymagania dla poszczególnych klas rozgrywek: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746"/>
        <w:gridCol w:w="2747"/>
        <w:gridCol w:w="2747"/>
      </w:tblGrid>
      <w:tr w:rsidR="008C08DC" w:rsidRPr="002A4909" w14:paraId="4FBB8EC1" w14:textId="77777777" w:rsidTr="00FD5FCE">
        <w:trPr>
          <w:trHeight w:val="315"/>
          <w:jc w:val="center"/>
        </w:trPr>
        <w:tc>
          <w:tcPr>
            <w:tcW w:w="2746" w:type="dxa"/>
            <w:shd w:val="clear" w:color="auto" w:fill="767171" w:themeFill="background2" w:themeFillShade="80"/>
          </w:tcPr>
          <w:p w14:paraId="507D5F7F" w14:textId="3F3959AF" w:rsidR="008C08DC" w:rsidRPr="00BC4B7F" w:rsidRDefault="008C08DC" w:rsidP="00A218ED">
            <w:pPr>
              <w:jc w:val="center"/>
              <w:rPr>
                <w:rFonts w:cstheme="minorHAnsi"/>
                <w:color w:val="FFFFFF" w:themeColor="background1"/>
                <w:lang w:val="pl-PL"/>
              </w:rPr>
            </w:pPr>
            <w:r w:rsidRPr="00BC4B7F">
              <w:rPr>
                <w:rFonts w:cstheme="minorHAnsi"/>
                <w:color w:val="FFFFFF" w:themeColor="background1"/>
                <w:lang w:val="pl-PL"/>
              </w:rPr>
              <w:t>Klasa rozgrywek</w:t>
            </w:r>
          </w:p>
        </w:tc>
        <w:tc>
          <w:tcPr>
            <w:tcW w:w="2747" w:type="dxa"/>
            <w:shd w:val="clear" w:color="auto" w:fill="767171" w:themeFill="background2" w:themeFillShade="80"/>
          </w:tcPr>
          <w:p w14:paraId="74C55D08" w14:textId="41A515F1" w:rsidR="008C08DC" w:rsidRPr="00BC4B7F" w:rsidRDefault="008C08DC" w:rsidP="00A218ED">
            <w:pPr>
              <w:jc w:val="center"/>
              <w:rPr>
                <w:rFonts w:cstheme="minorHAnsi"/>
                <w:color w:val="FFFFFF" w:themeColor="background1"/>
                <w:lang w:val="pl-PL"/>
              </w:rPr>
            </w:pPr>
            <w:proofErr w:type="spellStart"/>
            <w:r w:rsidRPr="00BC4B7F">
              <w:rPr>
                <w:rFonts w:cstheme="minorHAnsi"/>
                <w:color w:val="FFFFFF" w:themeColor="background1"/>
                <w:lang w:val="pl-PL"/>
              </w:rPr>
              <w:t>Eśr</w:t>
            </w:r>
            <w:proofErr w:type="spellEnd"/>
            <w:r w:rsidRPr="00BC4B7F">
              <w:rPr>
                <w:rFonts w:cstheme="minorHAnsi"/>
                <w:color w:val="FFFFFF" w:themeColor="background1"/>
                <w:lang w:val="pl-PL"/>
              </w:rPr>
              <w:t xml:space="preserve"> [lx]</w:t>
            </w:r>
          </w:p>
        </w:tc>
        <w:tc>
          <w:tcPr>
            <w:tcW w:w="2747" w:type="dxa"/>
            <w:shd w:val="clear" w:color="auto" w:fill="767171" w:themeFill="background2" w:themeFillShade="80"/>
          </w:tcPr>
          <w:p w14:paraId="528EEA33" w14:textId="7AD6C212" w:rsidR="008C08DC" w:rsidRPr="00BC4B7F" w:rsidRDefault="008C08DC" w:rsidP="00A218ED">
            <w:pPr>
              <w:jc w:val="center"/>
              <w:rPr>
                <w:rFonts w:cstheme="minorHAnsi"/>
                <w:color w:val="FFFFFF" w:themeColor="background1"/>
                <w:lang w:val="pl-PL"/>
              </w:rPr>
            </w:pPr>
            <w:r w:rsidRPr="00BC4B7F">
              <w:rPr>
                <w:rFonts w:cstheme="minorHAnsi"/>
                <w:color w:val="FFFFFF" w:themeColor="background1"/>
                <w:lang w:val="pl-PL"/>
              </w:rPr>
              <w:t>Emin/</w:t>
            </w:r>
            <w:proofErr w:type="spellStart"/>
            <w:r w:rsidRPr="00BC4B7F">
              <w:rPr>
                <w:rFonts w:cstheme="minorHAnsi"/>
                <w:color w:val="FFFFFF" w:themeColor="background1"/>
                <w:lang w:val="pl-PL"/>
              </w:rPr>
              <w:t>Eśr</w:t>
            </w:r>
            <w:proofErr w:type="spellEnd"/>
            <w:r w:rsidRPr="00BC4B7F">
              <w:rPr>
                <w:rFonts w:cstheme="minorHAnsi"/>
                <w:color w:val="FFFFFF" w:themeColor="background1"/>
                <w:lang w:val="pl-PL"/>
              </w:rPr>
              <w:t>.</w:t>
            </w:r>
          </w:p>
        </w:tc>
      </w:tr>
      <w:tr w:rsidR="008C08DC" w:rsidRPr="002A4909" w14:paraId="2C6F744A" w14:textId="77777777" w:rsidTr="00323A9A">
        <w:trPr>
          <w:trHeight w:val="315"/>
          <w:jc w:val="center"/>
        </w:trPr>
        <w:tc>
          <w:tcPr>
            <w:tcW w:w="2746" w:type="dxa"/>
          </w:tcPr>
          <w:p w14:paraId="69604EFD" w14:textId="06E9D4A1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I</w:t>
            </w:r>
          </w:p>
        </w:tc>
        <w:tc>
          <w:tcPr>
            <w:tcW w:w="2747" w:type="dxa"/>
          </w:tcPr>
          <w:p w14:paraId="2EC327B0" w14:textId="4CD17C63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500</w:t>
            </w:r>
          </w:p>
        </w:tc>
        <w:tc>
          <w:tcPr>
            <w:tcW w:w="2747" w:type="dxa"/>
          </w:tcPr>
          <w:p w14:paraId="0FD6545F" w14:textId="025AD68F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0,70</w:t>
            </w:r>
          </w:p>
        </w:tc>
      </w:tr>
      <w:tr w:rsidR="008C08DC" w:rsidRPr="002A4909" w14:paraId="0FA028BA" w14:textId="77777777" w:rsidTr="00323A9A">
        <w:trPr>
          <w:trHeight w:val="315"/>
          <w:jc w:val="center"/>
        </w:trPr>
        <w:tc>
          <w:tcPr>
            <w:tcW w:w="2746" w:type="dxa"/>
          </w:tcPr>
          <w:p w14:paraId="4ACD0210" w14:textId="62018C81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II</w:t>
            </w:r>
          </w:p>
        </w:tc>
        <w:tc>
          <w:tcPr>
            <w:tcW w:w="2747" w:type="dxa"/>
          </w:tcPr>
          <w:p w14:paraId="35D50F15" w14:textId="78BAEFC9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200</w:t>
            </w:r>
          </w:p>
        </w:tc>
        <w:tc>
          <w:tcPr>
            <w:tcW w:w="2747" w:type="dxa"/>
          </w:tcPr>
          <w:p w14:paraId="49B0685A" w14:textId="7CC99681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0,60</w:t>
            </w:r>
          </w:p>
        </w:tc>
      </w:tr>
      <w:tr w:rsidR="008C08DC" w:rsidRPr="002A4909" w14:paraId="4168C5BB" w14:textId="77777777" w:rsidTr="00323A9A">
        <w:trPr>
          <w:trHeight w:val="315"/>
          <w:jc w:val="center"/>
        </w:trPr>
        <w:tc>
          <w:tcPr>
            <w:tcW w:w="2746" w:type="dxa"/>
          </w:tcPr>
          <w:p w14:paraId="0E472DDB" w14:textId="1244E28A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III</w:t>
            </w:r>
          </w:p>
        </w:tc>
        <w:tc>
          <w:tcPr>
            <w:tcW w:w="2747" w:type="dxa"/>
          </w:tcPr>
          <w:p w14:paraId="5BB6EC92" w14:textId="2F4ED899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75</w:t>
            </w:r>
          </w:p>
        </w:tc>
        <w:tc>
          <w:tcPr>
            <w:tcW w:w="2747" w:type="dxa"/>
          </w:tcPr>
          <w:p w14:paraId="139E77DB" w14:textId="7791EEB6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0,50</w:t>
            </w:r>
          </w:p>
        </w:tc>
      </w:tr>
    </w:tbl>
    <w:p w14:paraId="1FEEAA86" w14:textId="77777777" w:rsidR="00BC578F" w:rsidRDefault="00BC578F" w:rsidP="00506EB0">
      <w:pPr>
        <w:jc w:val="both"/>
        <w:rPr>
          <w:rFonts w:cstheme="minorHAnsi"/>
          <w:lang w:val="pl-PL"/>
        </w:rPr>
      </w:pPr>
    </w:p>
    <w:p w14:paraId="394ACC97" w14:textId="77777777" w:rsidR="002C6019" w:rsidRDefault="002C6019" w:rsidP="00506EB0">
      <w:pPr>
        <w:jc w:val="both"/>
        <w:rPr>
          <w:rFonts w:cstheme="minorHAnsi"/>
          <w:highlight w:val="yellow"/>
          <w:lang w:val="pl-PL"/>
        </w:rPr>
      </w:pPr>
    </w:p>
    <w:p w14:paraId="1AC5E3A9" w14:textId="53C86C5D" w:rsidR="00ED711E" w:rsidRPr="002A4909" w:rsidRDefault="00ED711E" w:rsidP="00506EB0">
      <w:pPr>
        <w:jc w:val="both"/>
        <w:rPr>
          <w:rFonts w:cstheme="minorHAnsi"/>
          <w:lang w:val="pl-PL"/>
        </w:rPr>
      </w:pPr>
      <w:r w:rsidRPr="00372F0E">
        <w:rPr>
          <w:rFonts w:cstheme="minorHAnsi"/>
          <w:lang w:val="pl-PL"/>
        </w:rPr>
        <w:lastRenderedPageBreak/>
        <w:t>Z pewnością nieraz sięgniemy też po tablicę A.16 dla potrzeb kortów tenisowych: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746"/>
        <w:gridCol w:w="2747"/>
        <w:gridCol w:w="2747"/>
      </w:tblGrid>
      <w:tr w:rsidR="008C08DC" w:rsidRPr="002A4909" w14:paraId="7EDBF9A4" w14:textId="77777777" w:rsidTr="00FD5FCE">
        <w:trPr>
          <w:trHeight w:val="315"/>
          <w:jc w:val="center"/>
        </w:trPr>
        <w:tc>
          <w:tcPr>
            <w:tcW w:w="2746" w:type="dxa"/>
            <w:shd w:val="clear" w:color="auto" w:fill="767171" w:themeFill="background2" w:themeFillShade="80"/>
          </w:tcPr>
          <w:p w14:paraId="701F8D73" w14:textId="77777777" w:rsidR="008C08DC" w:rsidRPr="00BC4B7F" w:rsidRDefault="008C08DC" w:rsidP="00A218ED">
            <w:pPr>
              <w:jc w:val="center"/>
              <w:rPr>
                <w:rFonts w:cstheme="minorHAnsi"/>
                <w:color w:val="FFFFFF" w:themeColor="background1"/>
                <w:lang w:val="pl-PL"/>
              </w:rPr>
            </w:pPr>
            <w:r w:rsidRPr="00BC4B7F">
              <w:rPr>
                <w:rFonts w:cstheme="minorHAnsi"/>
                <w:color w:val="FFFFFF" w:themeColor="background1"/>
                <w:lang w:val="pl-PL"/>
              </w:rPr>
              <w:t>Klasa rozgrywek</w:t>
            </w:r>
          </w:p>
        </w:tc>
        <w:tc>
          <w:tcPr>
            <w:tcW w:w="2747" w:type="dxa"/>
            <w:shd w:val="clear" w:color="auto" w:fill="767171" w:themeFill="background2" w:themeFillShade="80"/>
          </w:tcPr>
          <w:p w14:paraId="0582682C" w14:textId="77777777" w:rsidR="008C08DC" w:rsidRPr="00BC4B7F" w:rsidRDefault="008C08DC" w:rsidP="00A218ED">
            <w:pPr>
              <w:jc w:val="center"/>
              <w:rPr>
                <w:rFonts w:cstheme="minorHAnsi"/>
                <w:color w:val="FFFFFF" w:themeColor="background1"/>
                <w:lang w:val="pl-PL"/>
              </w:rPr>
            </w:pPr>
            <w:proofErr w:type="spellStart"/>
            <w:r w:rsidRPr="00BC4B7F">
              <w:rPr>
                <w:rFonts w:cstheme="minorHAnsi"/>
                <w:color w:val="FFFFFF" w:themeColor="background1"/>
                <w:lang w:val="pl-PL"/>
              </w:rPr>
              <w:t>Eśr</w:t>
            </w:r>
            <w:proofErr w:type="spellEnd"/>
            <w:r w:rsidRPr="00BC4B7F">
              <w:rPr>
                <w:rFonts w:cstheme="minorHAnsi"/>
                <w:color w:val="FFFFFF" w:themeColor="background1"/>
                <w:lang w:val="pl-PL"/>
              </w:rPr>
              <w:t xml:space="preserve"> [lx]</w:t>
            </w:r>
          </w:p>
        </w:tc>
        <w:tc>
          <w:tcPr>
            <w:tcW w:w="2747" w:type="dxa"/>
            <w:shd w:val="clear" w:color="auto" w:fill="767171" w:themeFill="background2" w:themeFillShade="80"/>
          </w:tcPr>
          <w:p w14:paraId="76E308F8" w14:textId="312A173F" w:rsidR="008C08DC" w:rsidRPr="00BC4B7F" w:rsidRDefault="008C08DC" w:rsidP="00A218ED">
            <w:pPr>
              <w:jc w:val="center"/>
              <w:rPr>
                <w:rFonts w:cstheme="minorHAnsi"/>
                <w:color w:val="FFFFFF" w:themeColor="background1"/>
                <w:lang w:val="pl-PL"/>
              </w:rPr>
            </w:pPr>
            <w:r w:rsidRPr="00BC4B7F">
              <w:rPr>
                <w:rFonts w:cstheme="minorHAnsi"/>
                <w:color w:val="FFFFFF" w:themeColor="background1"/>
                <w:lang w:val="pl-PL"/>
              </w:rPr>
              <w:t>Emin/</w:t>
            </w:r>
            <w:proofErr w:type="spellStart"/>
            <w:r w:rsidRPr="00BC4B7F">
              <w:rPr>
                <w:rFonts w:cstheme="minorHAnsi"/>
                <w:color w:val="FFFFFF" w:themeColor="background1"/>
                <w:lang w:val="pl-PL"/>
              </w:rPr>
              <w:t>Eśr</w:t>
            </w:r>
            <w:proofErr w:type="spellEnd"/>
            <w:r w:rsidRPr="00BC4B7F">
              <w:rPr>
                <w:rFonts w:cstheme="minorHAnsi"/>
                <w:color w:val="FFFFFF" w:themeColor="background1"/>
                <w:lang w:val="pl-PL"/>
              </w:rPr>
              <w:t>.</w:t>
            </w:r>
          </w:p>
        </w:tc>
      </w:tr>
      <w:tr w:rsidR="008C08DC" w:rsidRPr="002A4909" w14:paraId="3D0614A4" w14:textId="77777777" w:rsidTr="00323A9A">
        <w:trPr>
          <w:trHeight w:val="315"/>
          <w:jc w:val="center"/>
        </w:trPr>
        <w:tc>
          <w:tcPr>
            <w:tcW w:w="2746" w:type="dxa"/>
          </w:tcPr>
          <w:p w14:paraId="580509FA" w14:textId="77777777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I</w:t>
            </w:r>
          </w:p>
        </w:tc>
        <w:tc>
          <w:tcPr>
            <w:tcW w:w="2747" w:type="dxa"/>
          </w:tcPr>
          <w:p w14:paraId="545CB055" w14:textId="77777777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500</w:t>
            </w:r>
          </w:p>
        </w:tc>
        <w:tc>
          <w:tcPr>
            <w:tcW w:w="2747" w:type="dxa"/>
          </w:tcPr>
          <w:p w14:paraId="02E59808" w14:textId="77777777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0,70</w:t>
            </w:r>
          </w:p>
        </w:tc>
      </w:tr>
      <w:tr w:rsidR="008C08DC" w:rsidRPr="002A4909" w14:paraId="7690292B" w14:textId="77777777" w:rsidTr="00323A9A">
        <w:trPr>
          <w:trHeight w:val="315"/>
          <w:jc w:val="center"/>
        </w:trPr>
        <w:tc>
          <w:tcPr>
            <w:tcW w:w="2746" w:type="dxa"/>
          </w:tcPr>
          <w:p w14:paraId="2D52B817" w14:textId="77777777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II</w:t>
            </w:r>
          </w:p>
        </w:tc>
        <w:tc>
          <w:tcPr>
            <w:tcW w:w="2747" w:type="dxa"/>
          </w:tcPr>
          <w:p w14:paraId="596D1309" w14:textId="56DA69D4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300</w:t>
            </w:r>
          </w:p>
        </w:tc>
        <w:tc>
          <w:tcPr>
            <w:tcW w:w="2747" w:type="dxa"/>
          </w:tcPr>
          <w:p w14:paraId="48802174" w14:textId="15E463FF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0,70</w:t>
            </w:r>
          </w:p>
        </w:tc>
      </w:tr>
      <w:tr w:rsidR="008C08DC" w:rsidRPr="002A4909" w14:paraId="0F94B7CD" w14:textId="77777777" w:rsidTr="00323A9A">
        <w:trPr>
          <w:trHeight w:val="315"/>
          <w:jc w:val="center"/>
        </w:trPr>
        <w:tc>
          <w:tcPr>
            <w:tcW w:w="2746" w:type="dxa"/>
          </w:tcPr>
          <w:p w14:paraId="13884225" w14:textId="77777777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III</w:t>
            </w:r>
          </w:p>
        </w:tc>
        <w:tc>
          <w:tcPr>
            <w:tcW w:w="2747" w:type="dxa"/>
          </w:tcPr>
          <w:p w14:paraId="6D5E5217" w14:textId="14F651E3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200</w:t>
            </w:r>
          </w:p>
        </w:tc>
        <w:tc>
          <w:tcPr>
            <w:tcW w:w="2747" w:type="dxa"/>
          </w:tcPr>
          <w:p w14:paraId="56803597" w14:textId="4BD80598" w:rsidR="008C08DC" w:rsidRPr="002A4909" w:rsidRDefault="008C08DC" w:rsidP="00A218ED">
            <w:pPr>
              <w:jc w:val="center"/>
              <w:rPr>
                <w:rFonts w:cstheme="minorHAnsi"/>
                <w:lang w:val="pl-PL"/>
              </w:rPr>
            </w:pPr>
            <w:r w:rsidRPr="002A4909">
              <w:rPr>
                <w:rFonts w:cstheme="minorHAnsi"/>
                <w:lang w:val="pl-PL"/>
              </w:rPr>
              <w:t>0,60</w:t>
            </w:r>
          </w:p>
        </w:tc>
      </w:tr>
    </w:tbl>
    <w:p w14:paraId="1536F69D" w14:textId="0ADDD252" w:rsidR="006B12F4" w:rsidRDefault="006B12F4" w:rsidP="006B12F4">
      <w:pPr>
        <w:ind w:firstLine="720"/>
        <w:jc w:val="both"/>
        <w:rPr>
          <w:rFonts w:cstheme="minorHAnsi"/>
          <w:lang w:val="pl-PL"/>
        </w:rPr>
      </w:pPr>
    </w:p>
    <w:p w14:paraId="0B4682CD" w14:textId="5AAAC5FA" w:rsidR="00E07F52" w:rsidRDefault="00ED711E" w:rsidP="00611BB2">
      <w:pPr>
        <w:jc w:val="both"/>
        <w:rPr>
          <w:rFonts w:cstheme="minorHAnsi"/>
          <w:lang w:val="pl-PL"/>
        </w:rPr>
      </w:pPr>
      <w:r w:rsidRPr="002A4909">
        <w:rPr>
          <w:rFonts w:cstheme="minorHAnsi"/>
          <w:lang w:val="pl-PL"/>
        </w:rPr>
        <w:t>W przypadku innych dyscyplin sportu</w:t>
      </w:r>
      <w:r w:rsidR="00BC578F">
        <w:rPr>
          <w:rFonts w:cstheme="minorHAnsi"/>
          <w:lang w:val="pl-PL"/>
        </w:rPr>
        <w:t>,</w:t>
      </w:r>
      <w:r w:rsidRPr="002A4909">
        <w:rPr>
          <w:rFonts w:cstheme="minorHAnsi"/>
          <w:lang w:val="pl-PL"/>
        </w:rPr>
        <w:t xml:space="preserve"> np. lekk</w:t>
      </w:r>
      <w:r w:rsidR="00BC578F">
        <w:rPr>
          <w:rFonts w:cstheme="minorHAnsi"/>
          <w:lang w:val="pl-PL"/>
        </w:rPr>
        <w:t xml:space="preserve">iej </w:t>
      </w:r>
      <w:r w:rsidRPr="002A4909">
        <w:rPr>
          <w:rFonts w:cstheme="minorHAnsi"/>
          <w:lang w:val="pl-PL"/>
        </w:rPr>
        <w:t>atletyk</w:t>
      </w:r>
      <w:r w:rsidR="00BC578F">
        <w:rPr>
          <w:rFonts w:cstheme="minorHAnsi"/>
          <w:lang w:val="pl-PL"/>
        </w:rPr>
        <w:t>i</w:t>
      </w:r>
      <w:r w:rsidRPr="002A4909">
        <w:rPr>
          <w:rFonts w:cstheme="minorHAnsi"/>
          <w:lang w:val="pl-PL"/>
        </w:rPr>
        <w:t>, kolarstw</w:t>
      </w:r>
      <w:r w:rsidR="00BC578F">
        <w:rPr>
          <w:rFonts w:cstheme="minorHAnsi"/>
          <w:lang w:val="pl-PL"/>
        </w:rPr>
        <w:t>a</w:t>
      </w:r>
      <w:r w:rsidRPr="002A4909">
        <w:rPr>
          <w:rFonts w:cstheme="minorHAnsi"/>
          <w:lang w:val="pl-PL"/>
        </w:rPr>
        <w:t xml:space="preserve"> czy skate </w:t>
      </w:r>
      <w:proofErr w:type="spellStart"/>
      <w:r w:rsidRPr="002A4909">
        <w:rPr>
          <w:rFonts w:cstheme="minorHAnsi"/>
          <w:lang w:val="pl-PL"/>
        </w:rPr>
        <w:t>park</w:t>
      </w:r>
      <w:r w:rsidR="00BC578F">
        <w:rPr>
          <w:rFonts w:cstheme="minorHAnsi"/>
          <w:lang w:val="pl-PL"/>
        </w:rPr>
        <w:t>’ów</w:t>
      </w:r>
      <w:proofErr w:type="spellEnd"/>
      <w:r w:rsidRPr="002A4909">
        <w:rPr>
          <w:rFonts w:cstheme="minorHAnsi"/>
          <w:lang w:val="pl-PL"/>
        </w:rPr>
        <w:t xml:space="preserve"> sięgamy do odpowiednich tablic w normie 12193 „Oświetlenie w sporcie”.</w:t>
      </w:r>
    </w:p>
    <w:p w14:paraId="39AD33B3" w14:textId="77800F93" w:rsidR="006B12F4" w:rsidRDefault="004078E2" w:rsidP="005C1B72">
      <w:pPr>
        <w:jc w:val="both"/>
        <w:rPr>
          <w:rFonts w:cstheme="minorHAnsi"/>
          <w:lang w:val="pl-PL"/>
        </w:rPr>
      </w:pPr>
      <w:r>
        <w:rPr>
          <w:rFonts w:cstheme="minorHAnsi"/>
          <w:noProof/>
          <w:lang w:val="pl-PL"/>
        </w:rPr>
        <w:drawing>
          <wp:anchor distT="0" distB="0" distL="114300" distR="114300" simplePos="0" relativeHeight="251659264" behindDoc="1" locked="0" layoutInCell="1" allowOverlap="1" wp14:anchorId="0B853CE8" wp14:editId="41AD8B94">
            <wp:simplePos x="0" y="0"/>
            <wp:positionH relativeFrom="column">
              <wp:posOffset>1517650</wp:posOffset>
            </wp:positionH>
            <wp:positionV relativeFrom="paragraph">
              <wp:posOffset>26035</wp:posOffset>
            </wp:positionV>
            <wp:extent cx="2800350" cy="1861185"/>
            <wp:effectExtent l="0" t="0" r="0" b="5715"/>
            <wp:wrapTight wrapText="bothSides">
              <wp:wrapPolygon edited="0">
                <wp:start x="0" y="0"/>
                <wp:lineTo x="0" y="21445"/>
                <wp:lineTo x="21453" y="21445"/>
                <wp:lineTo x="21453" y="0"/>
                <wp:lineTo x="0" y="0"/>
              </wp:wrapPolygon>
            </wp:wrapTight>
            <wp:docPr id="1" name="Picture 1" descr="A football field at nigh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football field at nigh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861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88F47D" w14:textId="4A7C94EA" w:rsidR="004078E2" w:rsidRDefault="004078E2" w:rsidP="00AD6616">
      <w:pPr>
        <w:jc w:val="center"/>
        <w:rPr>
          <w:rFonts w:cstheme="minorHAnsi"/>
          <w:lang w:val="pl-PL"/>
        </w:rPr>
      </w:pPr>
    </w:p>
    <w:p w14:paraId="11E03085" w14:textId="7635B032" w:rsidR="006B12F4" w:rsidRDefault="006B12F4" w:rsidP="00AD6616">
      <w:pPr>
        <w:jc w:val="center"/>
        <w:rPr>
          <w:rFonts w:cstheme="minorHAnsi"/>
          <w:lang w:val="pl-PL"/>
        </w:rPr>
      </w:pPr>
    </w:p>
    <w:p w14:paraId="6221F0BF" w14:textId="66D09B25" w:rsidR="006B12F4" w:rsidRDefault="006B12F4" w:rsidP="006B12F4">
      <w:pPr>
        <w:jc w:val="both"/>
        <w:rPr>
          <w:rFonts w:cstheme="minorHAnsi"/>
          <w:lang w:val="pl-PL"/>
        </w:rPr>
      </w:pPr>
    </w:p>
    <w:p w14:paraId="11F3CCCF" w14:textId="3287D06A" w:rsidR="004078E2" w:rsidRDefault="004078E2" w:rsidP="00611BB2">
      <w:pPr>
        <w:jc w:val="both"/>
        <w:rPr>
          <w:rFonts w:cstheme="minorHAnsi"/>
          <w:lang w:val="pl-PL"/>
        </w:rPr>
      </w:pPr>
    </w:p>
    <w:p w14:paraId="42067B05" w14:textId="7336658D" w:rsidR="004078E2" w:rsidRDefault="004078E2" w:rsidP="00611BB2">
      <w:pPr>
        <w:jc w:val="both"/>
        <w:rPr>
          <w:rFonts w:cstheme="minorHAnsi"/>
          <w:lang w:val="pl-PL"/>
        </w:rPr>
      </w:pPr>
    </w:p>
    <w:p w14:paraId="574DB6BD" w14:textId="77777777" w:rsidR="004078E2" w:rsidRDefault="004078E2" w:rsidP="00611BB2">
      <w:pPr>
        <w:jc w:val="both"/>
        <w:rPr>
          <w:rFonts w:cstheme="minorHAnsi"/>
          <w:lang w:val="pl-PL"/>
        </w:rPr>
      </w:pPr>
    </w:p>
    <w:p w14:paraId="397DCA34" w14:textId="77777777" w:rsidR="002C6019" w:rsidRDefault="002C6019" w:rsidP="00611BB2">
      <w:pPr>
        <w:jc w:val="both"/>
        <w:rPr>
          <w:rFonts w:cstheme="minorHAnsi"/>
          <w:lang w:val="pl-PL"/>
        </w:rPr>
      </w:pPr>
    </w:p>
    <w:p w14:paraId="7B17396B" w14:textId="752C2469" w:rsidR="00ED711E" w:rsidRPr="002A4909" w:rsidRDefault="00ED711E" w:rsidP="00611BB2">
      <w:pPr>
        <w:jc w:val="both"/>
        <w:rPr>
          <w:rFonts w:cstheme="minorHAnsi"/>
          <w:lang w:val="pl-PL"/>
        </w:rPr>
      </w:pPr>
      <w:r w:rsidRPr="002A4909">
        <w:rPr>
          <w:rFonts w:cstheme="minorHAnsi"/>
          <w:lang w:val="pl-PL"/>
        </w:rPr>
        <w:t>Oprócz poziomów natężenia oświetlenia i równomierności w normie znajdziemy wytyczne dotyczące innych aspektów</w:t>
      </w:r>
      <w:r w:rsidR="00BC578F">
        <w:rPr>
          <w:rFonts w:cstheme="minorHAnsi"/>
          <w:lang w:val="pl-PL"/>
        </w:rPr>
        <w:t>, np.</w:t>
      </w:r>
      <w:r w:rsidRPr="002A4909">
        <w:rPr>
          <w:rFonts w:cstheme="minorHAnsi"/>
          <w:lang w:val="pl-PL"/>
        </w:rPr>
        <w:t>:</w:t>
      </w:r>
    </w:p>
    <w:p w14:paraId="4502C2B8" w14:textId="06E20DA2" w:rsidR="00ED711E" w:rsidRPr="00611BB2" w:rsidRDefault="00ED711E" w:rsidP="00611BB2">
      <w:pPr>
        <w:pStyle w:val="ListParagraph"/>
        <w:numPr>
          <w:ilvl w:val="0"/>
          <w:numId w:val="2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>wskaźnik oddawani barw</w:t>
      </w:r>
      <w:r w:rsidR="00BC578F">
        <w:rPr>
          <w:rFonts w:cstheme="minorHAnsi"/>
          <w:lang w:val="pl-PL"/>
        </w:rPr>
        <w:t>,</w:t>
      </w:r>
    </w:p>
    <w:p w14:paraId="15F4E8A2" w14:textId="2931BD4C" w:rsidR="00ED711E" w:rsidRPr="00611BB2" w:rsidRDefault="00ED711E" w:rsidP="00611BB2">
      <w:pPr>
        <w:pStyle w:val="ListParagraph"/>
        <w:numPr>
          <w:ilvl w:val="0"/>
          <w:numId w:val="2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>wskaźnik olśnienia</w:t>
      </w:r>
      <w:r w:rsidR="00BC578F">
        <w:rPr>
          <w:rFonts w:cstheme="minorHAnsi"/>
          <w:lang w:val="pl-PL"/>
        </w:rPr>
        <w:t>,</w:t>
      </w:r>
    </w:p>
    <w:p w14:paraId="6F8D55E2" w14:textId="7437C97C" w:rsidR="00ED711E" w:rsidRPr="00611BB2" w:rsidRDefault="004078E2" w:rsidP="00611BB2">
      <w:pPr>
        <w:pStyle w:val="ListParagraph"/>
        <w:numPr>
          <w:ilvl w:val="0"/>
          <w:numId w:val="2"/>
        </w:numPr>
        <w:jc w:val="both"/>
        <w:rPr>
          <w:rFonts w:cstheme="minorHAnsi"/>
          <w:lang w:val="pl-PL"/>
        </w:rPr>
      </w:pPr>
      <w:r>
        <w:rPr>
          <w:noProof/>
          <w:lang w:val="pl-PL"/>
        </w:rPr>
        <w:drawing>
          <wp:anchor distT="0" distB="0" distL="114300" distR="114300" simplePos="0" relativeHeight="251658240" behindDoc="1" locked="0" layoutInCell="1" allowOverlap="1" wp14:anchorId="6CB8E637" wp14:editId="139713C0">
            <wp:simplePos x="0" y="0"/>
            <wp:positionH relativeFrom="column">
              <wp:posOffset>1837055</wp:posOffset>
            </wp:positionH>
            <wp:positionV relativeFrom="paragraph">
              <wp:posOffset>123825</wp:posOffset>
            </wp:positionV>
            <wp:extent cx="1993900" cy="3547745"/>
            <wp:effectExtent l="4127" t="0" r="0" b="0"/>
            <wp:wrapTight wrapText="bothSides">
              <wp:wrapPolygon edited="0">
                <wp:start x="21555" y="-25"/>
                <wp:lineTo x="299" y="-25"/>
                <wp:lineTo x="299" y="21432"/>
                <wp:lineTo x="21555" y="21432"/>
                <wp:lineTo x="21555" y="-25"/>
              </wp:wrapPolygon>
            </wp:wrapTight>
            <wp:docPr id="8" name="Picture 8" descr="A picture containing g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green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993900" cy="3547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1BB2">
        <w:rPr>
          <w:rFonts w:cstheme="minorHAnsi"/>
          <w:lang w:val="pl-PL"/>
        </w:rPr>
        <w:t>s</w:t>
      </w:r>
      <w:r w:rsidR="00ED711E" w:rsidRPr="00611BB2">
        <w:rPr>
          <w:rFonts w:cstheme="minorHAnsi"/>
          <w:lang w:val="pl-PL"/>
        </w:rPr>
        <w:t>iatka obliczeniowa/pomiarowa</w:t>
      </w:r>
      <w:r w:rsidR="00BC578F">
        <w:rPr>
          <w:rFonts w:cstheme="minorHAnsi"/>
          <w:lang w:val="pl-PL"/>
        </w:rPr>
        <w:t>,</w:t>
      </w:r>
    </w:p>
    <w:p w14:paraId="1C24A070" w14:textId="1B399D70" w:rsidR="00ED711E" w:rsidRPr="00611BB2" w:rsidRDefault="00ED711E" w:rsidP="00611BB2">
      <w:pPr>
        <w:pStyle w:val="ListParagraph"/>
        <w:numPr>
          <w:ilvl w:val="0"/>
          <w:numId w:val="2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>rekomendowane współczynniki odbić dla różnych nawierzchni sportowych</w:t>
      </w:r>
      <w:r w:rsidR="00BC578F">
        <w:rPr>
          <w:rFonts w:cstheme="minorHAnsi"/>
          <w:lang w:val="pl-PL"/>
        </w:rPr>
        <w:t>,</w:t>
      </w:r>
    </w:p>
    <w:p w14:paraId="1CD41406" w14:textId="0C598577" w:rsidR="004078E2" w:rsidRPr="004078E2" w:rsidRDefault="00ED711E" w:rsidP="004078E2">
      <w:pPr>
        <w:pStyle w:val="ListParagraph"/>
        <w:numPr>
          <w:ilvl w:val="0"/>
          <w:numId w:val="2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>ilość niepożądanego światła w otoczeniu oświetlanego obiektu</w:t>
      </w:r>
      <w:r w:rsidR="00BC578F">
        <w:rPr>
          <w:rFonts w:cstheme="minorHAnsi"/>
          <w:lang w:val="pl-PL"/>
        </w:rPr>
        <w:t>.</w:t>
      </w:r>
    </w:p>
    <w:p w14:paraId="18A37EB6" w14:textId="77777777" w:rsidR="004078E2" w:rsidRDefault="004078E2" w:rsidP="00506EB0">
      <w:pPr>
        <w:ind w:firstLine="720"/>
        <w:jc w:val="both"/>
        <w:rPr>
          <w:rFonts w:cstheme="minorHAnsi"/>
          <w:lang w:val="pl-PL"/>
        </w:rPr>
      </w:pPr>
    </w:p>
    <w:p w14:paraId="4ACB5233" w14:textId="77777777" w:rsidR="004078E2" w:rsidRDefault="004078E2" w:rsidP="00611BB2">
      <w:pPr>
        <w:jc w:val="both"/>
        <w:rPr>
          <w:rFonts w:cstheme="minorHAnsi"/>
          <w:b/>
          <w:bCs/>
          <w:lang w:val="pl-PL"/>
        </w:rPr>
      </w:pPr>
    </w:p>
    <w:p w14:paraId="017EF807" w14:textId="77777777" w:rsidR="004078E2" w:rsidRDefault="004078E2" w:rsidP="00611BB2">
      <w:pPr>
        <w:jc w:val="both"/>
        <w:rPr>
          <w:rFonts w:cstheme="minorHAnsi"/>
          <w:b/>
          <w:bCs/>
          <w:lang w:val="pl-PL"/>
        </w:rPr>
      </w:pPr>
    </w:p>
    <w:p w14:paraId="6CA27A7C" w14:textId="77777777" w:rsidR="004078E2" w:rsidRDefault="004078E2" w:rsidP="00611BB2">
      <w:pPr>
        <w:jc w:val="both"/>
        <w:rPr>
          <w:rFonts w:cstheme="minorHAnsi"/>
          <w:b/>
          <w:bCs/>
          <w:lang w:val="pl-PL"/>
        </w:rPr>
      </w:pPr>
    </w:p>
    <w:p w14:paraId="6A545F60" w14:textId="77777777" w:rsidR="004078E2" w:rsidRDefault="004078E2" w:rsidP="00611BB2">
      <w:pPr>
        <w:jc w:val="both"/>
        <w:rPr>
          <w:rFonts w:cstheme="minorHAnsi"/>
          <w:b/>
          <w:bCs/>
          <w:lang w:val="pl-PL"/>
        </w:rPr>
      </w:pPr>
    </w:p>
    <w:p w14:paraId="29EB97E6" w14:textId="77777777" w:rsidR="004078E2" w:rsidRDefault="004078E2" w:rsidP="00611BB2">
      <w:pPr>
        <w:jc w:val="both"/>
        <w:rPr>
          <w:rFonts w:cstheme="minorHAnsi"/>
          <w:b/>
          <w:bCs/>
          <w:lang w:val="pl-PL"/>
        </w:rPr>
      </w:pPr>
    </w:p>
    <w:p w14:paraId="012BE2DC" w14:textId="77777777" w:rsidR="004078E2" w:rsidRDefault="004078E2" w:rsidP="00611BB2">
      <w:pPr>
        <w:jc w:val="both"/>
        <w:rPr>
          <w:rFonts w:cstheme="minorHAnsi"/>
          <w:b/>
          <w:bCs/>
          <w:lang w:val="pl-PL"/>
        </w:rPr>
      </w:pPr>
    </w:p>
    <w:p w14:paraId="7329F16E" w14:textId="77777777" w:rsidR="004078E2" w:rsidRDefault="004078E2" w:rsidP="00611BB2">
      <w:pPr>
        <w:jc w:val="both"/>
        <w:rPr>
          <w:rFonts w:cstheme="minorHAnsi"/>
          <w:b/>
          <w:bCs/>
          <w:lang w:val="pl-PL"/>
        </w:rPr>
      </w:pPr>
    </w:p>
    <w:p w14:paraId="7DC94C4D" w14:textId="77777777" w:rsidR="002C6019" w:rsidRDefault="002C6019" w:rsidP="00611BB2">
      <w:pPr>
        <w:jc w:val="both"/>
        <w:rPr>
          <w:rFonts w:cstheme="minorHAnsi"/>
          <w:b/>
          <w:bCs/>
          <w:lang w:val="pl-PL"/>
        </w:rPr>
      </w:pPr>
    </w:p>
    <w:p w14:paraId="030695A7" w14:textId="2E812EF1" w:rsidR="006B12F4" w:rsidRPr="00966A76" w:rsidRDefault="00ED711E" w:rsidP="00611BB2">
      <w:pPr>
        <w:jc w:val="both"/>
        <w:rPr>
          <w:rFonts w:cstheme="minorHAnsi"/>
          <w:b/>
          <w:bCs/>
          <w:sz w:val="24"/>
          <w:szCs w:val="24"/>
          <w:lang w:val="pl-PL"/>
        </w:rPr>
      </w:pPr>
      <w:r w:rsidRPr="00966A76">
        <w:rPr>
          <w:rFonts w:cstheme="minorHAnsi"/>
          <w:b/>
          <w:bCs/>
          <w:sz w:val="24"/>
          <w:szCs w:val="24"/>
          <w:lang w:val="pl-PL"/>
        </w:rPr>
        <w:lastRenderedPageBreak/>
        <w:t>Na co zwrócić uwagę – poza normatywami - przy projektowaniu oświetlenia dla zewnętrznego rekreacyjnego obiektu sportowego?</w:t>
      </w:r>
    </w:p>
    <w:p w14:paraId="05601A23" w14:textId="3ED942DD" w:rsidR="00ED711E" w:rsidRPr="002A4909" w:rsidRDefault="00ED711E" w:rsidP="00611BB2">
      <w:pPr>
        <w:jc w:val="both"/>
        <w:rPr>
          <w:rFonts w:cstheme="minorHAnsi"/>
          <w:lang w:val="pl-PL"/>
        </w:rPr>
      </w:pPr>
      <w:r w:rsidRPr="002A4909">
        <w:rPr>
          <w:rFonts w:cstheme="minorHAnsi"/>
          <w:lang w:val="pl-PL"/>
        </w:rPr>
        <w:t xml:space="preserve">Z całą pewnością – jeśli tylko pozwala na to geometria obiektu – należy dążyć do użycia opraw oświetleniowych o rozsyłach asymetrycznych, montowanych z zerowym lub minimalnym możliwym kątem nachylenia. Nie zawsze jest </w:t>
      </w:r>
      <w:r w:rsidR="00ED0B94">
        <w:rPr>
          <w:rFonts w:cstheme="minorHAnsi"/>
          <w:lang w:val="pl-PL"/>
        </w:rPr>
        <w:t xml:space="preserve">to </w:t>
      </w:r>
      <w:r w:rsidRPr="002A4909">
        <w:rPr>
          <w:rFonts w:cstheme="minorHAnsi"/>
          <w:lang w:val="pl-PL"/>
        </w:rPr>
        <w:t>możliwe, np. kiedy słupy są zbyt niskie lub kiedy są bardzo oddalone od pola gry. Używanie opraw asymetrycznych minimalizuje olśnienie i znacząco ogranicza ilość niepożądanego światła emitowanego poza pole gry. Ogromne znaczenie ma także wybór samej oprawy oświetleniowej i doświadczenie projektanta. Przy wyborze oprawy</w:t>
      </w:r>
      <w:r w:rsidR="00ED0B94">
        <w:rPr>
          <w:rFonts w:cstheme="minorHAnsi"/>
          <w:lang w:val="pl-PL"/>
        </w:rPr>
        <w:t>,</w:t>
      </w:r>
      <w:r w:rsidRPr="002A4909">
        <w:rPr>
          <w:rFonts w:cstheme="minorHAnsi"/>
          <w:lang w:val="pl-PL"/>
        </w:rPr>
        <w:t xml:space="preserve"> oprócz już wymienionych parametrów uwagę należy zwracać na:</w:t>
      </w:r>
    </w:p>
    <w:p w14:paraId="52D764A4" w14:textId="2FE6F713" w:rsidR="00ED711E" w:rsidRPr="00611BB2" w:rsidRDefault="00ED711E" w:rsidP="00611BB2">
      <w:pPr>
        <w:pStyle w:val="ListParagraph"/>
        <w:numPr>
          <w:ilvl w:val="0"/>
          <w:numId w:val="3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>trwałość użytkową</w:t>
      </w:r>
      <w:r w:rsidR="00ED0B94">
        <w:rPr>
          <w:rFonts w:cstheme="minorHAnsi"/>
          <w:lang w:val="pl-PL"/>
        </w:rPr>
        <w:t>,</w:t>
      </w:r>
    </w:p>
    <w:p w14:paraId="2C3CBCB3" w14:textId="4AA155C4" w:rsidR="00ED711E" w:rsidRPr="00611BB2" w:rsidRDefault="00ED711E" w:rsidP="00611BB2">
      <w:pPr>
        <w:pStyle w:val="ListParagraph"/>
        <w:numPr>
          <w:ilvl w:val="0"/>
          <w:numId w:val="3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>skuteczność świetlną</w:t>
      </w:r>
      <w:r w:rsidR="00ED0B94">
        <w:rPr>
          <w:rFonts w:cstheme="minorHAnsi"/>
          <w:lang w:val="pl-PL"/>
        </w:rPr>
        <w:t>,</w:t>
      </w:r>
    </w:p>
    <w:p w14:paraId="311FDFB1" w14:textId="2A640D15" w:rsidR="00ED711E" w:rsidRPr="00611BB2" w:rsidRDefault="00ED711E" w:rsidP="00611BB2">
      <w:pPr>
        <w:pStyle w:val="ListParagraph"/>
        <w:numPr>
          <w:ilvl w:val="0"/>
          <w:numId w:val="3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>łatwość w montażu i konserwacji</w:t>
      </w:r>
      <w:r w:rsidR="00ED0B94">
        <w:rPr>
          <w:rFonts w:cstheme="minorHAnsi"/>
          <w:lang w:val="pl-PL"/>
        </w:rPr>
        <w:t>,</w:t>
      </w:r>
    </w:p>
    <w:p w14:paraId="2ED559C6" w14:textId="5B56A00A" w:rsidR="00ED711E" w:rsidRPr="00611BB2" w:rsidRDefault="00ED711E" w:rsidP="00611BB2">
      <w:pPr>
        <w:pStyle w:val="ListParagraph"/>
        <w:numPr>
          <w:ilvl w:val="0"/>
          <w:numId w:val="3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>masę i powierzchnię oporu wiatrowego</w:t>
      </w:r>
      <w:r w:rsidR="00ED0B94">
        <w:rPr>
          <w:rFonts w:cstheme="minorHAnsi"/>
          <w:lang w:val="pl-PL"/>
        </w:rPr>
        <w:t>.</w:t>
      </w:r>
    </w:p>
    <w:p w14:paraId="77587A14" w14:textId="77777777" w:rsidR="006B12F4" w:rsidRDefault="006B12F4" w:rsidP="00506EB0">
      <w:pPr>
        <w:ind w:firstLine="720"/>
        <w:jc w:val="both"/>
        <w:rPr>
          <w:rFonts w:cstheme="minorHAnsi"/>
          <w:lang w:val="pl-PL"/>
        </w:rPr>
      </w:pPr>
    </w:p>
    <w:p w14:paraId="49E1DDEA" w14:textId="082E63ED" w:rsidR="00ED711E" w:rsidRPr="002A4909" w:rsidRDefault="00ED711E" w:rsidP="00611BB2">
      <w:pPr>
        <w:jc w:val="both"/>
        <w:rPr>
          <w:rFonts w:cstheme="minorHAnsi"/>
          <w:lang w:val="pl-PL"/>
        </w:rPr>
      </w:pPr>
      <w:r w:rsidRPr="002A4909">
        <w:rPr>
          <w:rFonts w:cstheme="minorHAnsi"/>
          <w:lang w:val="pl-PL"/>
        </w:rPr>
        <w:t xml:space="preserve">Z </w:t>
      </w:r>
      <w:r w:rsidR="00ED0B94">
        <w:rPr>
          <w:rFonts w:cstheme="minorHAnsi"/>
          <w:lang w:val="pl-PL"/>
        </w:rPr>
        <w:t>oferty</w:t>
      </w:r>
      <w:r w:rsidRPr="002A4909">
        <w:rPr>
          <w:rFonts w:cstheme="minorHAnsi"/>
          <w:lang w:val="pl-PL"/>
        </w:rPr>
        <w:t xml:space="preserve"> PHILIPS szczególnej uwadze polecamy następujące rozwiązania:</w:t>
      </w:r>
    </w:p>
    <w:p w14:paraId="403521F5" w14:textId="76BC4127" w:rsidR="00ED711E" w:rsidRPr="00ED1FB6" w:rsidRDefault="00ED711E" w:rsidP="00506EB0">
      <w:pPr>
        <w:pStyle w:val="ListParagraph"/>
        <w:numPr>
          <w:ilvl w:val="0"/>
          <w:numId w:val="4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 xml:space="preserve">dla obiektów klasy I rodziny OptiVision LED (BVP528/518), ClearFlood Large (BVP651) oraz CLearFlood </w:t>
      </w:r>
      <w:r w:rsidRPr="00ED1FB6">
        <w:rPr>
          <w:rFonts w:cstheme="minorHAnsi"/>
          <w:lang w:val="pl-PL"/>
        </w:rPr>
        <w:t>(BVP650)</w:t>
      </w:r>
      <w:r w:rsidR="00ED0B94">
        <w:rPr>
          <w:rFonts w:cstheme="minorHAnsi"/>
          <w:lang w:val="pl-PL"/>
        </w:rPr>
        <w:t>,</w:t>
      </w:r>
    </w:p>
    <w:p w14:paraId="5164920A" w14:textId="2F1C6F01" w:rsidR="00ED711E" w:rsidRPr="00611BB2" w:rsidRDefault="00ED711E" w:rsidP="00611BB2">
      <w:pPr>
        <w:pStyle w:val="ListParagraph"/>
        <w:numPr>
          <w:ilvl w:val="0"/>
          <w:numId w:val="4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>dla obiektów klasy II rodzinę CoreLine Tempo (BVP140/130/125)</w:t>
      </w:r>
      <w:r w:rsidR="00ED0B94">
        <w:rPr>
          <w:rFonts w:cstheme="minorHAnsi"/>
          <w:lang w:val="pl-PL"/>
        </w:rPr>
        <w:t>,</w:t>
      </w:r>
    </w:p>
    <w:p w14:paraId="49D44719" w14:textId="70DB3A53" w:rsidR="00D42C3D" w:rsidRPr="00611BB2" w:rsidRDefault="00ED711E" w:rsidP="00611BB2">
      <w:pPr>
        <w:pStyle w:val="ListParagraph"/>
        <w:numPr>
          <w:ilvl w:val="0"/>
          <w:numId w:val="4"/>
        </w:numPr>
        <w:jc w:val="both"/>
        <w:rPr>
          <w:rFonts w:cstheme="minorHAnsi"/>
          <w:lang w:val="pl-PL"/>
        </w:rPr>
      </w:pPr>
      <w:r w:rsidRPr="00611BB2">
        <w:rPr>
          <w:rFonts w:cstheme="minorHAnsi"/>
          <w:lang w:val="pl-PL"/>
        </w:rPr>
        <w:t>dla obiektów klasy III rodzinę Ledinaire Floodlight (BVP165</w:t>
      </w:r>
      <w:r w:rsidR="00ED0B94">
        <w:rPr>
          <w:rFonts w:cstheme="minorHAnsi"/>
          <w:lang w:val="pl-PL"/>
        </w:rPr>
        <w:t>.</w:t>
      </w:r>
    </w:p>
    <w:p w14:paraId="588739C4" w14:textId="490A29B6" w:rsidR="00104673" w:rsidRPr="002A4909" w:rsidRDefault="00104673" w:rsidP="00506EB0">
      <w:pPr>
        <w:jc w:val="both"/>
        <w:rPr>
          <w:rFonts w:cstheme="minorHAnsi"/>
          <w:lang w:val="pl-PL"/>
        </w:rPr>
      </w:pPr>
    </w:p>
    <w:p w14:paraId="5E2B735D" w14:textId="67CB79D3" w:rsidR="00323A9A" w:rsidRPr="002A4909" w:rsidRDefault="00786002" w:rsidP="00786002">
      <w:pPr>
        <w:jc w:val="center"/>
        <w:rPr>
          <w:rFonts w:cstheme="minorHAnsi"/>
          <w:lang w:val="pl-PL"/>
        </w:rPr>
      </w:pPr>
      <w:r>
        <w:rPr>
          <w:rFonts w:cstheme="minorHAnsi"/>
          <w:noProof/>
          <w:lang w:val="pl-PL"/>
        </w:rPr>
        <w:drawing>
          <wp:inline distT="0" distB="0" distL="0" distR="0" wp14:anchorId="040D86E5" wp14:editId="6CE303CC">
            <wp:extent cx="5943600" cy="2275840"/>
            <wp:effectExtent l="0" t="0" r="0" b="0"/>
            <wp:docPr id="6" name="Picture 6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text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A714E" w14:textId="77777777" w:rsidR="00323A9A" w:rsidRPr="002A4909" w:rsidRDefault="00323A9A" w:rsidP="00506EB0">
      <w:pPr>
        <w:jc w:val="both"/>
        <w:rPr>
          <w:rFonts w:cstheme="minorHAnsi"/>
        </w:rPr>
      </w:pPr>
    </w:p>
    <w:p w14:paraId="182C4CE3" w14:textId="7089DA59" w:rsidR="008C08DC" w:rsidRPr="002A4909" w:rsidRDefault="008C08DC" w:rsidP="00506EB0">
      <w:pPr>
        <w:jc w:val="both"/>
        <w:rPr>
          <w:rFonts w:cstheme="minorHAnsi"/>
        </w:rPr>
      </w:pPr>
      <w:r w:rsidRPr="002A4909">
        <w:rPr>
          <w:rFonts w:cstheme="minorHAnsi"/>
        </w:rPr>
        <w:t xml:space="preserve">Autor: Marcin Bocheński </w:t>
      </w:r>
    </w:p>
    <w:p w14:paraId="50283457" w14:textId="212D319D" w:rsidR="008C08DC" w:rsidRPr="002A4909" w:rsidRDefault="008C08DC" w:rsidP="00506EB0">
      <w:pPr>
        <w:jc w:val="both"/>
        <w:rPr>
          <w:rFonts w:cstheme="minorHAnsi"/>
        </w:rPr>
      </w:pPr>
      <w:r w:rsidRPr="002A4909">
        <w:rPr>
          <w:rFonts w:cstheme="minorHAnsi"/>
        </w:rPr>
        <w:t>Product Ma</w:t>
      </w:r>
      <w:r w:rsidR="006202AD">
        <w:rPr>
          <w:rFonts w:cstheme="minorHAnsi"/>
        </w:rPr>
        <w:t>nager</w:t>
      </w:r>
      <w:r w:rsidRPr="002A4909">
        <w:rPr>
          <w:rFonts w:cstheme="minorHAnsi"/>
        </w:rPr>
        <w:t xml:space="preserve">, Signify </w:t>
      </w:r>
    </w:p>
    <w:p w14:paraId="11A6F9FE" w14:textId="34463C6F" w:rsidR="00B97E98" w:rsidRPr="008C08DC" w:rsidRDefault="00B97E98" w:rsidP="00ED711E"/>
    <w:sectPr w:rsidR="00B97E98" w:rsidRPr="008C08D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92ECF0" w14:textId="77777777" w:rsidR="00AE0653" w:rsidRDefault="00AE0653" w:rsidP="00506EB0">
      <w:pPr>
        <w:spacing w:after="0" w:line="240" w:lineRule="auto"/>
      </w:pPr>
      <w:r>
        <w:separator/>
      </w:r>
    </w:p>
  </w:endnote>
  <w:endnote w:type="continuationSeparator" w:id="0">
    <w:p w14:paraId="0DCF979F" w14:textId="77777777" w:rsidR="00AE0653" w:rsidRDefault="00AE0653" w:rsidP="00506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45EF73" w14:textId="77777777" w:rsidR="00372F0E" w:rsidRDefault="00372F0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A26F05" w14:textId="77777777" w:rsidR="00372F0E" w:rsidRDefault="00372F0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CAF3E1" w14:textId="77777777" w:rsidR="00372F0E" w:rsidRDefault="00372F0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8A925B" w14:textId="77777777" w:rsidR="00AE0653" w:rsidRDefault="00AE0653" w:rsidP="00506EB0">
      <w:pPr>
        <w:spacing w:after="0" w:line="240" w:lineRule="auto"/>
      </w:pPr>
      <w:r>
        <w:separator/>
      </w:r>
    </w:p>
  </w:footnote>
  <w:footnote w:type="continuationSeparator" w:id="0">
    <w:p w14:paraId="0264F95B" w14:textId="77777777" w:rsidR="00AE0653" w:rsidRDefault="00AE0653" w:rsidP="00506E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15128" w14:textId="77777777" w:rsidR="00372F0E" w:rsidRDefault="00372F0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0089FA" w14:textId="3559C173" w:rsidR="00372F0E" w:rsidRDefault="00372F0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47C67" w14:textId="77777777" w:rsidR="00372F0E" w:rsidRDefault="00372F0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7C759C"/>
    <w:multiLevelType w:val="hybridMultilevel"/>
    <w:tmpl w:val="6AF6E5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FB3136"/>
    <w:multiLevelType w:val="hybridMultilevel"/>
    <w:tmpl w:val="3E9C6D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15148D8"/>
    <w:multiLevelType w:val="hybridMultilevel"/>
    <w:tmpl w:val="79E01A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6230BC9"/>
    <w:multiLevelType w:val="hybridMultilevel"/>
    <w:tmpl w:val="4E1294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711E"/>
    <w:rsid w:val="00097C7E"/>
    <w:rsid w:val="00104673"/>
    <w:rsid w:val="002A4909"/>
    <w:rsid w:val="002C6019"/>
    <w:rsid w:val="00323A9A"/>
    <w:rsid w:val="00351702"/>
    <w:rsid w:val="00372F0E"/>
    <w:rsid w:val="00373D45"/>
    <w:rsid w:val="004078E2"/>
    <w:rsid w:val="00416445"/>
    <w:rsid w:val="004274C2"/>
    <w:rsid w:val="00440C5F"/>
    <w:rsid w:val="0047125A"/>
    <w:rsid w:val="00506EB0"/>
    <w:rsid w:val="00527E40"/>
    <w:rsid w:val="00535BE0"/>
    <w:rsid w:val="00551E07"/>
    <w:rsid w:val="005C1B72"/>
    <w:rsid w:val="00611BB2"/>
    <w:rsid w:val="006202AD"/>
    <w:rsid w:val="00653849"/>
    <w:rsid w:val="006B12F4"/>
    <w:rsid w:val="00712BC5"/>
    <w:rsid w:val="00786002"/>
    <w:rsid w:val="008C08DC"/>
    <w:rsid w:val="00966A76"/>
    <w:rsid w:val="009A41B4"/>
    <w:rsid w:val="00A218ED"/>
    <w:rsid w:val="00AB183E"/>
    <w:rsid w:val="00AD6616"/>
    <w:rsid w:val="00AE0653"/>
    <w:rsid w:val="00B97E98"/>
    <w:rsid w:val="00BA6BF8"/>
    <w:rsid w:val="00BC4B7F"/>
    <w:rsid w:val="00BC578F"/>
    <w:rsid w:val="00C5714C"/>
    <w:rsid w:val="00CD77CF"/>
    <w:rsid w:val="00D42C3D"/>
    <w:rsid w:val="00D71E2E"/>
    <w:rsid w:val="00DE7AE4"/>
    <w:rsid w:val="00E07F52"/>
    <w:rsid w:val="00ED0B94"/>
    <w:rsid w:val="00ED1FB6"/>
    <w:rsid w:val="00ED711E"/>
    <w:rsid w:val="00FD5FCE"/>
    <w:rsid w:val="00FF7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E8F0E84"/>
  <w15:chartTrackingRefBased/>
  <w15:docId w15:val="{8692CD4A-6159-43B0-AA39-E5FA35CBD2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C08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06E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06EB0"/>
  </w:style>
  <w:style w:type="paragraph" w:styleId="Footer">
    <w:name w:val="footer"/>
    <w:basedOn w:val="Normal"/>
    <w:link w:val="FooterChar"/>
    <w:uiPriority w:val="99"/>
    <w:unhideWhenUsed/>
    <w:rsid w:val="00506E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06EB0"/>
  </w:style>
  <w:style w:type="paragraph" w:styleId="ListParagraph">
    <w:name w:val="List Paragraph"/>
    <w:basedOn w:val="Normal"/>
    <w:uiPriority w:val="34"/>
    <w:qFormat/>
    <w:rsid w:val="00611BB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497</Words>
  <Characters>2835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Gabriela Wisniewska</dc:creator>
  <cp:keywords/>
  <dc:description/>
  <cp:lastModifiedBy>Gabriela Wisniewska</cp:lastModifiedBy>
  <cp:revision>4</cp:revision>
  <dcterms:created xsi:type="dcterms:W3CDTF">2022-04-12T07:00:00Z</dcterms:created>
  <dcterms:modified xsi:type="dcterms:W3CDTF">2022-04-12T08:13:00Z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cb027a58-0b8b-4b38-933d-36c79ab5a9a6_Enabled">
    <vt:lpwstr>true</vt:lpwstr>
  </property>
  <property fmtid="{D5CDD505-2E9C-101B-9397-08002B2CF9AE}" pid="3" name="MSIP_Label_cb027a58-0b8b-4b38-933d-36c79ab5a9a6_SetDate">
    <vt:lpwstr>2022-04-12T08:12:57Z</vt:lpwstr>
  </property>
  <property fmtid="{D5CDD505-2E9C-101B-9397-08002B2CF9AE}" pid="4" name="MSIP_Label_cb027a58-0b8b-4b38-933d-36c79ab5a9a6_Method">
    <vt:lpwstr>Privileged</vt:lpwstr>
  </property>
  <property fmtid="{D5CDD505-2E9C-101B-9397-08002B2CF9AE}" pid="5" name="MSIP_Label_cb027a58-0b8b-4b38-933d-36c79ab5a9a6_Name">
    <vt:lpwstr>cb027a58-0b8b-4b38-933d-36c79ab5a9a6</vt:lpwstr>
  </property>
  <property fmtid="{D5CDD505-2E9C-101B-9397-08002B2CF9AE}" pid="6" name="MSIP_Label_cb027a58-0b8b-4b38-933d-36c79ab5a9a6_SiteId">
    <vt:lpwstr>75b2f54b-feff-400d-8e0b-67102edb9a23</vt:lpwstr>
  </property>
  <property fmtid="{D5CDD505-2E9C-101B-9397-08002B2CF9AE}" pid="7" name="MSIP_Label_cb027a58-0b8b-4b38-933d-36c79ab5a9a6_ActionId">
    <vt:lpwstr>a0d4907c-28e5-420d-872b-f742c61e4ed0</vt:lpwstr>
  </property>
  <property fmtid="{D5CDD505-2E9C-101B-9397-08002B2CF9AE}" pid="8" name="MSIP_Label_cb027a58-0b8b-4b38-933d-36c79ab5a9a6_ContentBits">
    <vt:lpwstr>0</vt:lpwstr>
  </property>
</Properties>
</file>